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5618BF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AE04CB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AF434B" w:rsidRPr="00AE04CB">
        <w:rPr>
          <w:rFonts w:ascii="Times New Roman" w:eastAsia="標楷體" w:hAnsi="Times New Roman" w:cs="Times New Roman" w:hint="eastAsia"/>
          <w:b/>
          <w:sz w:val="28"/>
          <w:szCs w:val="28"/>
        </w:rPr>
        <w:t>數學變</w:t>
      </w:r>
      <w:bookmarkStart w:id="0" w:name="_GoBack"/>
      <w:bookmarkEnd w:id="0"/>
      <w:r w:rsidR="00AF434B" w:rsidRPr="00AE04CB">
        <w:rPr>
          <w:rFonts w:ascii="Times New Roman" w:eastAsia="標楷體" w:hAnsi="Times New Roman" w:cs="Times New Roman" w:hint="eastAsia"/>
          <w:b/>
          <w:sz w:val="28"/>
          <w:szCs w:val="28"/>
        </w:rPr>
        <w:t>化球</w:t>
      </w:r>
      <w:r w:rsidR="00AF434B" w:rsidRPr="00AE04CB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AF434B" w:rsidRPr="00AE04CB">
        <w:rPr>
          <w:rFonts w:ascii="Times New Roman" w:eastAsia="標楷體" w:hAnsi="Times New Roman" w:cs="Times New Roman" w:hint="eastAsia"/>
          <w:b/>
          <w:sz w:val="28"/>
          <w:szCs w:val="28"/>
        </w:rPr>
        <w:t>思考訓練</w:t>
      </w:r>
      <w:r w:rsidR="00A306DF" w:rsidRPr="00AE04CB">
        <w:rPr>
          <w:rFonts w:ascii="新細明體" w:eastAsia="新細明體" w:hAnsi="新細明體" w:cs="Times New Roman" w:hint="eastAsia"/>
          <w:b/>
          <w:sz w:val="28"/>
          <w:szCs w:val="28"/>
        </w:rPr>
        <w:t>Ⅱ</w:t>
      </w:r>
      <w:r w:rsidR="00AE04CB">
        <w:rPr>
          <w:rFonts w:ascii="新細明體" w:eastAsia="新細明體" w:hAnsi="新細明體" w:cs="Times New Roman" w:hint="eastAsia"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1071"/>
        <w:gridCol w:w="2743"/>
        <w:gridCol w:w="941"/>
        <w:gridCol w:w="739"/>
        <w:gridCol w:w="3659"/>
      </w:tblGrid>
      <w:tr w:rsidR="00E139A2" w:rsidRPr="00E3292F" w:rsidTr="003110B4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3" w:type="pct"/>
            <w:gridSpan w:val="2"/>
            <w:vAlign w:val="center"/>
          </w:tcPr>
          <w:p w:rsidR="00E139A2" w:rsidRPr="00AF434B" w:rsidRDefault="00490FCB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4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數學變化球</w:t>
            </w:r>
            <w:r w:rsidRPr="00AF4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F4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思考訓練</w:t>
            </w:r>
            <w:r w:rsidR="00A306DF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Ⅱ</w:t>
            </w:r>
          </w:p>
        </w:tc>
        <w:tc>
          <w:tcPr>
            <w:tcW w:w="798" w:type="pct"/>
            <w:gridSpan w:val="2"/>
            <w:shd w:val="clear" w:color="auto" w:fill="D9D9D9" w:themeFill="background1" w:themeFillShade="D9"/>
            <w:vAlign w:val="center"/>
          </w:tcPr>
          <w:p w:rsidR="00E139A2" w:rsidRPr="00492429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429">
              <w:rPr>
                <w:rFonts w:ascii="Times New Roman" w:eastAsia="標楷體" w:hAnsi="Times New Roman" w:cs="Times New Roman"/>
                <w:b/>
                <w:szCs w:val="24"/>
              </w:rPr>
              <w:t>課程類別</w:t>
            </w:r>
          </w:p>
        </w:tc>
        <w:tc>
          <w:tcPr>
            <w:tcW w:w="1738" w:type="pct"/>
            <w:vAlign w:val="center"/>
          </w:tcPr>
          <w:p w:rsidR="00E139A2" w:rsidRPr="00492429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429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492429">
              <w:rPr>
                <w:rFonts w:ascii="Times New Roman" w:eastAsia="標楷體" w:hAnsi="Times New Roman" w:cs="Times New Roman"/>
                <w:b/>
                <w:szCs w:val="24"/>
              </w:rPr>
              <w:t>校訂必修</w:t>
            </w:r>
            <w:r w:rsidRPr="00492429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  <w:bookmarkStart w:id="1" w:name="_Hlk477293607"/>
            <w:r w:rsidR="005618BF" w:rsidRPr="00492429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52"/>
            </w:r>
            <w:bookmarkEnd w:id="1"/>
            <w:r w:rsidRPr="00492429">
              <w:rPr>
                <w:rFonts w:ascii="Times New Roman" w:eastAsia="標楷體" w:hAnsi="Times New Roman" w:cs="Times New Roman"/>
                <w:b/>
                <w:szCs w:val="24"/>
              </w:rPr>
              <w:t>多元選修</w:t>
            </w:r>
          </w:p>
          <w:p w:rsidR="00E139A2" w:rsidRPr="00492429" w:rsidRDefault="0095407E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429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proofErr w:type="gramStart"/>
            <w:r w:rsidR="00E139A2" w:rsidRPr="00492429">
              <w:rPr>
                <w:rFonts w:ascii="Times New Roman" w:eastAsia="標楷體" w:hAnsi="Times New Roman" w:cs="Times New Roman"/>
                <w:b/>
                <w:szCs w:val="24"/>
              </w:rPr>
              <w:t>加深加廣選修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492429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proofErr w:type="gramStart"/>
            <w:r w:rsidR="00E139A2" w:rsidRPr="00492429">
              <w:rPr>
                <w:rFonts w:ascii="Times New Roman" w:eastAsia="標楷體" w:hAnsi="Times New Roman" w:cs="Times New Roman"/>
                <w:b/>
                <w:szCs w:val="24"/>
              </w:rPr>
              <w:t>補強性選修</w:t>
            </w:r>
            <w:proofErr w:type="gramEnd"/>
          </w:p>
          <w:p w:rsidR="00E139A2" w:rsidRPr="00492429" w:rsidRDefault="00AE04CB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2429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="00E139A2" w:rsidRPr="00492429">
              <w:rPr>
                <w:rFonts w:ascii="Times New Roman" w:eastAsia="標楷體" w:hAnsi="Times New Roman" w:cs="Times New Roman"/>
                <w:b/>
                <w:szCs w:val="24"/>
              </w:rPr>
              <w:t>彈性學習</w:t>
            </w:r>
            <w:r w:rsidR="00E139A2" w:rsidRPr="00492429">
              <w:rPr>
                <w:rFonts w:ascii="Times New Roman" w:eastAsia="標楷體" w:hAnsi="Times New Roman" w:cs="Times New Roman"/>
                <w:b/>
                <w:szCs w:val="24"/>
              </w:rPr>
              <w:t xml:space="preserve">     □</w:t>
            </w:r>
            <w:r w:rsidR="00E139A2" w:rsidRPr="00492429">
              <w:rPr>
                <w:rFonts w:ascii="Times New Roman" w:eastAsia="標楷體" w:hAnsi="Times New Roman" w:cs="Times New Roman"/>
                <w:b/>
                <w:szCs w:val="24"/>
              </w:rPr>
              <w:t>團體活動</w:t>
            </w:r>
          </w:p>
        </w:tc>
      </w:tr>
      <w:tr w:rsidR="00E139A2" w:rsidRPr="00E3292F" w:rsidTr="003110B4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9" w:type="pct"/>
            <w:gridSpan w:val="5"/>
            <w:vAlign w:val="center"/>
          </w:tcPr>
          <w:p w:rsidR="005618BF" w:rsidRPr="00492429" w:rsidRDefault="00490FCB" w:rsidP="005618BF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修課建議：</w:t>
            </w:r>
            <w:r w:rsidR="00D868C9" w:rsidRPr="00492429">
              <w:rPr>
                <w:rFonts w:ascii="Times New Roman" w:eastAsia="標楷體" w:hAnsi="Times New Roman" w:cs="Times New Roman" w:hint="eastAsia"/>
                <w:szCs w:val="20"/>
              </w:rPr>
              <w:t>學期成績至少</w:t>
            </w:r>
            <w:r w:rsidR="00D868C9" w:rsidRPr="00492429">
              <w:rPr>
                <w:rFonts w:ascii="Times New Roman" w:eastAsia="標楷體" w:hAnsi="Times New Roman" w:cs="Times New Roman" w:hint="eastAsia"/>
                <w:szCs w:val="20"/>
              </w:rPr>
              <w:t>75</w:t>
            </w:r>
            <w:r w:rsidR="00D868C9" w:rsidRPr="00492429">
              <w:rPr>
                <w:rFonts w:ascii="Times New Roman" w:eastAsia="標楷體" w:hAnsi="Times New Roman" w:cs="Times New Roman" w:hint="eastAsia"/>
                <w:szCs w:val="20"/>
              </w:rPr>
              <w:t>分</w:t>
            </w:r>
            <w:r w:rsidR="00A3564B" w:rsidRPr="00492429">
              <w:rPr>
                <w:rFonts w:ascii="Times New Roman" w:eastAsia="標楷體" w:hAnsi="Times New Roman" w:cs="Times New Roman" w:hint="eastAsia"/>
                <w:szCs w:val="20"/>
              </w:rPr>
              <w:t>，並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且學習態度積極。</w:t>
            </w:r>
          </w:p>
          <w:p w:rsidR="005618BF" w:rsidRPr="00492429" w:rsidRDefault="005618BF" w:rsidP="005618BF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生活中有許多問題常常是一</w:t>
            </w:r>
            <w:proofErr w:type="gramStart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題多問</w:t>
            </w:r>
            <w:proofErr w:type="gramEnd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，一題多解，甚至沒有正確解答。</w:t>
            </w:r>
          </w:p>
          <w:p w:rsidR="005618BF" w:rsidRPr="00492429" w:rsidRDefault="005618BF" w:rsidP="005618BF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透過思考訓練，培養一題多問、一題多解的習慣，進而解決多采多姿的生活問題、判斷流言蜚語的社會問題。</w:t>
            </w:r>
          </w:p>
          <w:p w:rsidR="005618BF" w:rsidRPr="00492429" w:rsidRDefault="005618BF" w:rsidP="005618BF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透過數學問題，刺激思考，讓學生能清楚表達數學脈絡且邏輯</w:t>
            </w:r>
            <w:proofErr w:type="gramStart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清晰，</w:t>
            </w:r>
            <w:proofErr w:type="gramEnd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融會貫通。</w:t>
            </w:r>
          </w:p>
          <w:p w:rsidR="00E139A2" w:rsidRPr="00492429" w:rsidRDefault="005618BF" w:rsidP="005618B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學生常發生基本例題會解，</w:t>
            </w:r>
            <w:proofErr w:type="gramStart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但題型</w:t>
            </w:r>
            <w:proofErr w:type="gramEnd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稍微變化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例如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:</w:t>
            </w:r>
            <w:proofErr w:type="gramStart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學測、指考</w:t>
            </w:r>
            <w:proofErr w:type="gramEnd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就招架不住。</w:t>
            </w:r>
          </w:p>
        </w:tc>
      </w:tr>
      <w:tr w:rsidR="00E139A2" w:rsidRPr="00E3292F" w:rsidTr="003110B4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492429" w:rsidRDefault="00AE04CB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對數學思維有興趣的學生</w:t>
            </w:r>
          </w:p>
        </w:tc>
      </w:tr>
      <w:tr w:rsidR="00E139A2" w:rsidRPr="00E3292F" w:rsidTr="003110B4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pct"/>
            <w:gridSpan w:val="2"/>
            <w:vAlign w:val="center"/>
          </w:tcPr>
          <w:p w:rsidR="00E139A2" w:rsidRPr="00492429" w:rsidRDefault="003110B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陳彥誠、</w:t>
            </w:r>
            <w:proofErr w:type="gramStart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陳柄何</w:t>
            </w:r>
            <w:proofErr w:type="gramEnd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、陳政任</w:t>
            </w:r>
          </w:p>
        </w:tc>
        <w:tc>
          <w:tcPr>
            <w:tcW w:w="798" w:type="pct"/>
            <w:gridSpan w:val="2"/>
            <w:shd w:val="clear" w:color="auto" w:fill="D9D9D9" w:themeFill="background1" w:themeFillShade="D9"/>
            <w:vAlign w:val="center"/>
          </w:tcPr>
          <w:p w:rsidR="00E139A2" w:rsidRPr="00492429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492429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8" w:type="pct"/>
            <w:vAlign w:val="center"/>
          </w:tcPr>
          <w:p w:rsidR="00E139A2" w:rsidRPr="00492429" w:rsidRDefault="00A3564B" w:rsidP="00A306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492429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A306DF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492429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A306DF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492429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3110B4">
        <w:trPr>
          <w:trHeight w:val="796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13" w:type="pct"/>
            <w:gridSpan w:val="2"/>
            <w:vAlign w:val="center"/>
          </w:tcPr>
          <w:p w:rsidR="00E139A2" w:rsidRPr="00492429" w:rsidRDefault="005A1B03" w:rsidP="003F7C4B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492429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="00E139A2" w:rsidRPr="00492429">
              <w:rPr>
                <w:rFonts w:ascii="標楷體" w:eastAsia="標楷體" w:hAnsi="標楷體" w:cs="Times New Roman"/>
                <w:szCs w:val="20"/>
              </w:rPr>
              <w:t xml:space="preserve">一年級　</w:t>
            </w:r>
            <w:r w:rsidR="00A3564B" w:rsidRPr="00492429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52"/>
            </w:r>
            <w:r w:rsidR="00E139A2" w:rsidRPr="00492429">
              <w:rPr>
                <w:rFonts w:ascii="標楷體" w:eastAsia="標楷體" w:hAnsi="標楷體" w:cs="Times New Roman"/>
                <w:szCs w:val="20"/>
              </w:rPr>
              <w:t>二年級　□</w:t>
            </w:r>
            <w:proofErr w:type="gramStart"/>
            <w:r w:rsidR="00E139A2" w:rsidRPr="00492429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492429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8" w:type="pct"/>
            <w:gridSpan w:val="2"/>
            <w:shd w:val="clear" w:color="auto" w:fill="D9D9D9" w:themeFill="background1" w:themeFillShade="D9"/>
            <w:vAlign w:val="center"/>
          </w:tcPr>
          <w:p w:rsidR="00E139A2" w:rsidRPr="00492429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492429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492429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8" w:type="pct"/>
            <w:vAlign w:val="center"/>
          </w:tcPr>
          <w:p w:rsidR="00E139A2" w:rsidRPr="00492429" w:rsidRDefault="00AE04CB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16</w:t>
            </w:r>
            <w:r w:rsidR="00E139A2" w:rsidRPr="00492429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3110B4">
        <w:trPr>
          <w:trHeight w:val="82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49" w:type="pct"/>
            <w:gridSpan w:val="5"/>
            <w:vAlign w:val="center"/>
          </w:tcPr>
          <w:p w:rsidR="00AF3F5C" w:rsidRPr="00492429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492429"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492429" w:rsidRPr="00492429" w:rsidTr="00F527AF">
              <w:tc>
                <w:tcPr>
                  <w:tcW w:w="2025" w:type="dxa"/>
                </w:tcPr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492429" w:rsidRPr="00492429" w:rsidTr="00F527AF">
              <w:tc>
                <w:tcPr>
                  <w:tcW w:w="2025" w:type="dxa"/>
                </w:tcPr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492429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492429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492429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bookmarkStart w:id="2" w:name="_Hlk477293787"/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bookmarkEnd w:id="2"/>
                  <w:r w:rsidR="00AF3F5C" w:rsidRPr="00492429"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標楷體" w:eastAsia="標楷體" w:hAnsi="標楷體" w:hint="eastAsia"/>
                      <w:szCs w:val="24"/>
                    </w:rPr>
                    <w:t>□團隊合作</w:t>
                  </w:r>
                </w:p>
              </w:tc>
              <w:tc>
                <w:tcPr>
                  <w:tcW w:w="2026" w:type="dxa"/>
                </w:tcPr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492429"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492429"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:rsidR="00E139A2" w:rsidRPr="00492429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3110B4">
        <w:trPr>
          <w:trHeight w:val="133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49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492429" w:rsidRPr="00492429" w:rsidTr="00AF3F5C">
              <w:tc>
                <w:tcPr>
                  <w:tcW w:w="3020" w:type="dxa"/>
                </w:tcPr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492429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492429" w:rsidRPr="00492429" w:rsidTr="00AF3F5C">
              <w:tc>
                <w:tcPr>
                  <w:tcW w:w="3020" w:type="dxa"/>
                </w:tcPr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492429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492429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492429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492429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492429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492429">
                    <w:rPr>
                      <w:rFonts w:ascii="標楷體" w:eastAsia="標楷體" w:hAnsi="標楷體" w:cs="DFKaiShu-SB-Estd-BF" w:hint="eastAsia"/>
                      <w:sz w:val="22"/>
                    </w:rPr>
                    <w:t>□B-3藝術涵養與美感素養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492429">
                    <w:rPr>
                      <w:rFonts w:ascii="標楷體" w:eastAsia="標楷體" w:hAnsi="標楷體" w:cs="DFKaiShu-SB-Estd-BF" w:hint="eastAsia"/>
                      <w:sz w:val="22"/>
                    </w:rPr>
                    <w:t>□C-1道德實踐與公民意識</w:t>
                  </w:r>
                </w:p>
                <w:p w:rsidR="00AF3F5C" w:rsidRPr="00492429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49242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492429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492429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492429">
                    <w:rPr>
                      <w:rFonts w:ascii="標楷體" w:eastAsia="標楷體" w:hAnsi="標楷體" w:cs="DFKaiShu-SB-Estd-BF" w:hint="eastAsia"/>
                      <w:sz w:val="22"/>
                    </w:rPr>
                    <w:t>□C-3多元文化與國際理解</w:t>
                  </w:r>
                </w:p>
              </w:tc>
            </w:tr>
          </w:tbl>
          <w:p w:rsidR="00E139A2" w:rsidRPr="00492429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3110B4">
        <w:trPr>
          <w:trHeight w:val="78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49" w:type="pct"/>
            <w:gridSpan w:val="5"/>
            <w:vAlign w:val="center"/>
          </w:tcPr>
          <w:p w:rsidR="003110B4" w:rsidRPr="00492429" w:rsidRDefault="003110B4" w:rsidP="003110B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主題式架構</w:t>
            </w:r>
          </w:p>
          <w:p w:rsidR="003110B4" w:rsidRPr="00492429" w:rsidRDefault="003110B4" w:rsidP="003110B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流程</w:t>
            </w:r>
            <w:proofErr w:type="gramStart"/>
            <w:r w:rsidRPr="00492429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492429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3110B4" w:rsidRPr="00492429" w:rsidRDefault="003110B4" w:rsidP="003110B4">
            <w:pPr>
              <w:pStyle w:val="a9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基礎概念講說</w:t>
            </w:r>
            <w:r w:rsidRPr="00492429">
              <w:rPr>
                <w:rFonts w:ascii="Times New Roman" w:eastAsia="標楷體" w:hAnsi="Times New Roman" w:cs="Times New Roman" w:hint="eastAsia"/>
              </w:rPr>
              <w:t>(</w:t>
            </w:r>
            <w:r w:rsidRPr="00492429">
              <w:rPr>
                <w:rFonts w:ascii="Times New Roman" w:eastAsia="標楷體" w:hAnsi="Times New Roman" w:cs="Times New Roman" w:hint="eastAsia"/>
              </w:rPr>
              <w:t>會解基本例題，不變化，學習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數學脈絡</w:t>
            </w:r>
            <w:r w:rsidRPr="00492429">
              <w:rPr>
                <w:rFonts w:ascii="Times New Roman" w:eastAsia="標楷體" w:hAnsi="Times New Roman" w:cs="Times New Roman" w:hint="eastAsia"/>
              </w:rPr>
              <w:t>)</w:t>
            </w:r>
            <w:r w:rsidRPr="00492429">
              <w:rPr>
                <w:rFonts w:ascii="Times New Roman" w:eastAsia="標楷體" w:hAnsi="Times New Roman" w:cs="Times New Roman" w:hint="eastAsia"/>
              </w:rPr>
              <w:t>。</w:t>
            </w:r>
            <w:r w:rsidRPr="00492429">
              <w:rPr>
                <w:rFonts w:ascii="Times New Roman" w:eastAsia="標楷體" w:hAnsi="Times New Roman" w:cs="Times New Roman" w:hint="eastAsia"/>
              </w:rPr>
              <w:t>(1</w:t>
            </w:r>
            <w:proofErr w:type="gramStart"/>
            <w:r w:rsidRPr="00492429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  <w:r w:rsidRPr="00492429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3110B4" w:rsidRPr="00492429" w:rsidRDefault="003110B4" w:rsidP="003110B4">
            <w:pPr>
              <w:pStyle w:val="a9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變化球，一題多問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本課程核心，思考訓練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。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(2</w:t>
            </w:r>
            <w:proofErr w:type="gramStart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週</w:t>
            </w:r>
            <w:proofErr w:type="gramEnd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  <w:p w:rsidR="003110B4" w:rsidRPr="00492429" w:rsidRDefault="003110B4" w:rsidP="003110B4">
            <w:pPr>
              <w:pStyle w:val="a9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流程一共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15</w:t>
            </w:r>
            <w:proofErr w:type="gramStart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週</w:t>
            </w:r>
            <w:proofErr w:type="gramEnd"/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。</w:t>
            </w:r>
          </w:p>
          <w:p w:rsidR="003110B4" w:rsidRPr="00492429" w:rsidRDefault="003110B4" w:rsidP="003110B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流程二：</w:t>
            </w:r>
          </w:p>
          <w:p w:rsidR="003110B4" w:rsidRPr="00492429" w:rsidRDefault="003110B4" w:rsidP="003110B4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可做為流程</w:t>
            </w:r>
            <w:proofErr w:type="gramStart"/>
            <w:r w:rsidRPr="00492429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492429">
              <w:rPr>
                <w:rFonts w:ascii="Times New Roman" w:eastAsia="標楷體" w:hAnsi="Times New Roman" w:cs="Times New Roman" w:hint="eastAsia"/>
              </w:rPr>
              <w:t>的彈性時間。</w:t>
            </w:r>
          </w:p>
          <w:p w:rsidR="003110B4" w:rsidRPr="00492429" w:rsidRDefault="003110B4" w:rsidP="003110B4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互相討論解題，</w:t>
            </w: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一題多解。</w:t>
            </w:r>
          </w:p>
          <w:p w:rsidR="00E139A2" w:rsidRPr="00492429" w:rsidRDefault="003110B4" w:rsidP="003110B4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測驗。</w:t>
            </w:r>
          </w:p>
        </w:tc>
      </w:tr>
      <w:tr w:rsidR="00E139A2" w:rsidRPr="00E3292F" w:rsidTr="003110B4">
        <w:trPr>
          <w:trHeight w:val="666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40" w:type="pct"/>
            <w:gridSpan w:val="4"/>
            <w:vAlign w:val="center"/>
          </w:tcPr>
          <w:p w:rsidR="000F5687" w:rsidRPr="00492429" w:rsidRDefault="003110B4" w:rsidP="003110B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關連性：強化並統整正式課程的學習內容。</w:t>
            </w:r>
          </w:p>
        </w:tc>
      </w:tr>
      <w:tr w:rsidR="00E139A2" w:rsidRPr="00E3292F" w:rsidTr="003110B4">
        <w:trPr>
          <w:trHeight w:val="618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40" w:type="pct"/>
            <w:gridSpan w:val="4"/>
            <w:vAlign w:val="center"/>
          </w:tcPr>
          <w:p w:rsidR="00E91E47" w:rsidRPr="00492429" w:rsidRDefault="003110B4" w:rsidP="000F568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關連性：培養思考自然、生活或社會問題。</w:t>
            </w:r>
          </w:p>
        </w:tc>
      </w:tr>
      <w:tr w:rsidR="00E139A2" w:rsidRPr="00E3292F" w:rsidTr="003110B4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lastRenderedPageBreak/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492429" w:rsidRDefault="003110B4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  <w:szCs w:val="20"/>
              </w:rPr>
              <w:t>一題多問，脈絡講解。</w:t>
            </w:r>
          </w:p>
        </w:tc>
      </w:tr>
      <w:tr w:rsidR="00E139A2" w:rsidRPr="00E3292F" w:rsidTr="003110B4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9" w:type="pct"/>
            <w:gridSpan w:val="5"/>
            <w:vAlign w:val="center"/>
          </w:tcPr>
          <w:p w:rsidR="003110B4" w:rsidRPr="00492429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形成性評量</w:t>
            </w:r>
          </w:p>
          <w:p w:rsidR="003110B4" w:rsidRPr="00492429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課堂參與：</w:t>
            </w:r>
            <w:r w:rsidRPr="00492429">
              <w:rPr>
                <w:rFonts w:ascii="Times New Roman" w:eastAsia="標楷體" w:hAnsi="Times New Roman" w:cs="Times New Roman" w:hint="eastAsia"/>
              </w:rPr>
              <w:t>60% (</w:t>
            </w:r>
            <w:r w:rsidRPr="00492429">
              <w:rPr>
                <w:rFonts w:ascii="Times New Roman" w:eastAsia="標楷體" w:hAnsi="Times New Roman" w:cs="Times New Roman" w:hint="eastAsia"/>
              </w:rPr>
              <w:t>含出席率、課堂互動、上課秩序</w:t>
            </w:r>
            <w:r w:rsidRPr="00492429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E139A2" w:rsidRPr="00492429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92429">
              <w:rPr>
                <w:rFonts w:ascii="Times New Roman" w:eastAsia="標楷體" w:hAnsi="Times New Roman" w:cs="Times New Roman" w:hint="eastAsia"/>
              </w:rPr>
              <w:t>分組作業：</w:t>
            </w:r>
            <w:r w:rsidRPr="00492429">
              <w:rPr>
                <w:rFonts w:ascii="Times New Roman" w:eastAsia="標楷體" w:hAnsi="Times New Roman" w:cs="Times New Roman" w:hint="eastAsia"/>
              </w:rPr>
              <w:t>40%(</w:t>
            </w:r>
            <w:r w:rsidRPr="00492429">
              <w:rPr>
                <w:rFonts w:ascii="Times New Roman" w:eastAsia="標楷體" w:hAnsi="Times New Roman" w:cs="Times New Roman" w:hint="eastAsia"/>
              </w:rPr>
              <w:t>含測驗，小組討論</w:t>
            </w:r>
            <w:r w:rsidRPr="0049242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139A2" w:rsidRPr="00E3292F" w:rsidTr="003110B4">
        <w:trPr>
          <w:trHeight w:val="660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0" w:type="pct"/>
            <w:gridSpan w:val="3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2090" w:type="pct"/>
            <w:gridSpan w:val="2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3110B4" w:rsidRPr="00E3292F" w:rsidTr="003110B4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3110B4" w:rsidRPr="00E3292F" w:rsidRDefault="003110B4" w:rsidP="003110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3110B4" w:rsidRPr="00291BBB" w:rsidRDefault="003110B4" w:rsidP="003110B4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(高二上)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絕對值</w:t>
            </w:r>
          </w:p>
        </w:tc>
        <w:tc>
          <w:tcPr>
            <w:tcW w:w="2090" w:type="pct"/>
            <w:gridSpan w:val="2"/>
            <w:vAlign w:val="center"/>
          </w:tcPr>
          <w:p w:rsidR="003110B4" w:rsidRPr="00291BBB" w:rsidRDefault="003110B4" w:rsidP="003110B4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(高二上)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絕對值</w:t>
            </w:r>
          </w:p>
        </w:tc>
      </w:tr>
      <w:tr w:rsidR="003110B4" w:rsidRPr="00E3292F" w:rsidTr="003110B4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3110B4" w:rsidRPr="00E3292F" w:rsidRDefault="003110B4" w:rsidP="003110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3110B4" w:rsidRPr="00291BBB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(高二上)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餘式定理、因式定理</w:t>
            </w:r>
          </w:p>
        </w:tc>
        <w:tc>
          <w:tcPr>
            <w:tcW w:w="2090" w:type="pct"/>
            <w:gridSpan w:val="2"/>
            <w:vAlign w:val="center"/>
          </w:tcPr>
          <w:p w:rsidR="003110B4" w:rsidRPr="00291BBB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(高二上)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餘式定理、因式定理</w:t>
            </w:r>
          </w:p>
        </w:tc>
      </w:tr>
      <w:tr w:rsidR="003110B4" w:rsidRPr="00E3292F" w:rsidTr="003110B4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3110B4" w:rsidRPr="00E3292F" w:rsidRDefault="003110B4" w:rsidP="003110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3110B4" w:rsidRPr="00291BBB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(高二上) </w:t>
            </w:r>
            <w:proofErr w:type="gramStart"/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插值多項式</w:t>
            </w:r>
            <w:proofErr w:type="gramEnd"/>
          </w:p>
        </w:tc>
        <w:tc>
          <w:tcPr>
            <w:tcW w:w="2090" w:type="pct"/>
            <w:gridSpan w:val="2"/>
            <w:vAlign w:val="center"/>
          </w:tcPr>
          <w:p w:rsidR="003110B4" w:rsidRPr="00291BBB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(高二上) </w:t>
            </w:r>
            <w:proofErr w:type="gramStart"/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插值多項式</w:t>
            </w:r>
            <w:proofErr w:type="gramEnd"/>
          </w:p>
        </w:tc>
      </w:tr>
      <w:tr w:rsidR="003110B4" w:rsidRPr="00E3292F" w:rsidTr="003110B4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3110B4" w:rsidRPr="00E3292F" w:rsidRDefault="003110B4" w:rsidP="003110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3110B4" w:rsidRPr="00291BBB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(高二上)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二次方程式的複數系</w:t>
            </w:r>
          </w:p>
        </w:tc>
        <w:tc>
          <w:tcPr>
            <w:tcW w:w="2090" w:type="pct"/>
            <w:gridSpan w:val="2"/>
            <w:vAlign w:val="center"/>
          </w:tcPr>
          <w:p w:rsidR="003110B4" w:rsidRPr="00291BBB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(高二上)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二次方程式的複數系</w:t>
            </w:r>
          </w:p>
        </w:tc>
      </w:tr>
      <w:tr w:rsidR="003110B4" w:rsidRPr="00E3292F" w:rsidTr="003110B4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3110B4" w:rsidRPr="00E3292F" w:rsidRDefault="003110B4" w:rsidP="003110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3110B4" w:rsidRPr="00291BBB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(高二上)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指、對數</w:t>
            </w:r>
          </w:p>
        </w:tc>
        <w:tc>
          <w:tcPr>
            <w:tcW w:w="2090" w:type="pct"/>
            <w:gridSpan w:val="2"/>
            <w:vAlign w:val="center"/>
          </w:tcPr>
          <w:p w:rsidR="003110B4" w:rsidRPr="00291BBB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(高二上)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指、對數</w:t>
            </w:r>
          </w:p>
        </w:tc>
      </w:tr>
      <w:tr w:rsidR="003110B4" w:rsidRPr="00E3292F" w:rsidTr="003110B4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3110B4" w:rsidRPr="00E3292F" w:rsidRDefault="003110B4" w:rsidP="003110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3110B4" w:rsidRPr="0038336C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36C">
              <w:rPr>
                <w:rFonts w:ascii="標楷體" w:eastAsia="標楷體" w:hAnsi="標楷體" w:cs="新細明體" w:hint="eastAsia"/>
                <w:kern w:val="0"/>
                <w:szCs w:val="24"/>
              </w:rPr>
              <w:t>(高二下) Σ符號</w:t>
            </w:r>
          </w:p>
        </w:tc>
        <w:tc>
          <w:tcPr>
            <w:tcW w:w="2090" w:type="pct"/>
            <w:gridSpan w:val="2"/>
            <w:vAlign w:val="center"/>
          </w:tcPr>
          <w:p w:rsidR="003110B4" w:rsidRPr="0038336C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36C">
              <w:rPr>
                <w:rFonts w:ascii="標楷體" w:eastAsia="標楷體" w:hAnsi="標楷體" w:cs="新細明體" w:hint="eastAsia"/>
                <w:kern w:val="0"/>
                <w:szCs w:val="24"/>
              </w:rPr>
              <w:t>(高二下) Σ符號</w:t>
            </w:r>
          </w:p>
        </w:tc>
      </w:tr>
      <w:tr w:rsidR="003110B4" w:rsidRPr="00E3292F" w:rsidTr="003110B4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3110B4" w:rsidRPr="00E3292F" w:rsidRDefault="003110B4" w:rsidP="003110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3110B4" w:rsidRPr="0038336C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36C">
              <w:rPr>
                <w:rFonts w:ascii="標楷體" w:eastAsia="標楷體" w:hAnsi="標楷體" w:cs="新細明體" w:hint="eastAsia"/>
                <w:kern w:val="0"/>
                <w:szCs w:val="24"/>
              </w:rPr>
              <w:t>(高二下) 排列組合</w:t>
            </w:r>
          </w:p>
        </w:tc>
        <w:tc>
          <w:tcPr>
            <w:tcW w:w="2090" w:type="pct"/>
            <w:gridSpan w:val="2"/>
            <w:vAlign w:val="center"/>
          </w:tcPr>
          <w:p w:rsidR="003110B4" w:rsidRPr="0038336C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36C">
              <w:rPr>
                <w:rFonts w:ascii="標楷體" w:eastAsia="標楷體" w:hAnsi="標楷體" w:cs="新細明體" w:hint="eastAsia"/>
                <w:kern w:val="0"/>
                <w:szCs w:val="24"/>
              </w:rPr>
              <w:t>(高二下) 排列組合</w:t>
            </w:r>
          </w:p>
        </w:tc>
      </w:tr>
      <w:tr w:rsidR="003110B4" w:rsidRPr="00E3292F" w:rsidTr="003110B4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3110B4" w:rsidRPr="00E3292F" w:rsidRDefault="003110B4" w:rsidP="003110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3110B4" w:rsidRPr="0038336C" w:rsidRDefault="003110B4" w:rsidP="003110B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36C">
              <w:rPr>
                <w:rFonts w:ascii="標楷體" w:eastAsia="標楷體" w:hAnsi="標楷體" w:cs="新細明體" w:hint="eastAsia"/>
                <w:kern w:val="0"/>
                <w:szCs w:val="24"/>
              </w:rPr>
              <w:t>(高二下) 條件機率、獨立事件</w:t>
            </w:r>
          </w:p>
        </w:tc>
        <w:tc>
          <w:tcPr>
            <w:tcW w:w="2090" w:type="pct"/>
            <w:gridSpan w:val="2"/>
            <w:vAlign w:val="center"/>
          </w:tcPr>
          <w:p w:rsidR="003110B4" w:rsidRPr="0038336C" w:rsidRDefault="003110B4" w:rsidP="003110B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36C">
              <w:rPr>
                <w:rFonts w:ascii="標楷體" w:eastAsia="標楷體" w:hAnsi="標楷體" w:cs="新細明體" w:hint="eastAsia"/>
                <w:kern w:val="0"/>
                <w:szCs w:val="24"/>
              </w:rPr>
              <w:t>(高二下) 條件機率、獨立事件</w:t>
            </w:r>
          </w:p>
        </w:tc>
      </w:tr>
      <w:tr w:rsidR="003110B4" w:rsidRPr="00E3292F" w:rsidTr="003110B4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3110B4" w:rsidRPr="00E3292F" w:rsidRDefault="003110B4" w:rsidP="003110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3110B4" w:rsidRPr="0038336C" w:rsidRDefault="003110B4" w:rsidP="003110B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36C">
              <w:rPr>
                <w:rFonts w:ascii="標楷體" w:eastAsia="標楷體" w:hAnsi="標楷體" w:cs="新細明體" w:hint="eastAsia"/>
                <w:kern w:val="0"/>
                <w:szCs w:val="24"/>
              </w:rPr>
              <w:t>(高二下) 正弦定理、餘弦定理</w:t>
            </w:r>
          </w:p>
        </w:tc>
        <w:tc>
          <w:tcPr>
            <w:tcW w:w="2090" w:type="pct"/>
            <w:gridSpan w:val="2"/>
            <w:vAlign w:val="center"/>
          </w:tcPr>
          <w:p w:rsidR="003110B4" w:rsidRPr="0038336C" w:rsidRDefault="003110B4" w:rsidP="003110B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36C">
              <w:rPr>
                <w:rFonts w:ascii="標楷體" w:eastAsia="標楷體" w:hAnsi="標楷體" w:cs="新細明體" w:hint="eastAsia"/>
                <w:kern w:val="0"/>
                <w:szCs w:val="24"/>
              </w:rPr>
              <w:t>(高二下) 正弦定理、餘弦定理</w:t>
            </w:r>
          </w:p>
        </w:tc>
      </w:tr>
      <w:tr w:rsidR="003110B4" w:rsidRPr="00E3292F" w:rsidTr="003110B4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3110B4" w:rsidRPr="00E3292F" w:rsidRDefault="003110B4" w:rsidP="003110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3110B4" w:rsidRPr="0038336C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36C">
              <w:rPr>
                <w:rFonts w:ascii="標楷體" w:eastAsia="標楷體" w:hAnsi="標楷體" w:cs="新細明體" w:hint="eastAsia"/>
                <w:kern w:val="0"/>
                <w:szCs w:val="24"/>
              </w:rPr>
              <w:t>(高二下) 內積與餘弦的關聯</w:t>
            </w:r>
          </w:p>
        </w:tc>
        <w:tc>
          <w:tcPr>
            <w:tcW w:w="2090" w:type="pct"/>
            <w:gridSpan w:val="2"/>
            <w:vAlign w:val="center"/>
          </w:tcPr>
          <w:p w:rsidR="003110B4" w:rsidRPr="0038336C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336C">
              <w:rPr>
                <w:rFonts w:ascii="標楷體" w:eastAsia="標楷體" w:hAnsi="標楷體" w:cs="新細明體" w:hint="eastAsia"/>
                <w:kern w:val="0"/>
                <w:szCs w:val="24"/>
              </w:rPr>
              <w:t>(高二下) 內積與餘弦的關聯</w:t>
            </w:r>
          </w:p>
        </w:tc>
      </w:tr>
      <w:tr w:rsidR="00E139A2" w:rsidRPr="00E3292F" w:rsidTr="003110B4">
        <w:trPr>
          <w:trHeight w:val="841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E3292F" w:rsidRDefault="003110B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黑板、粉筆、電腦、單槍投影、學習單</w:t>
            </w:r>
          </w:p>
        </w:tc>
      </w:tr>
    </w:tbl>
    <w:p w:rsidR="00AD7852" w:rsidRPr="00E139A2" w:rsidRDefault="00AD7852"/>
    <w:sectPr w:rsidR="00AD7852" w:rsidRPr="00E139A2" w:rsidSect="00E139A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3C" w:rsidRDefault="001D473C" w:rsidP="00747FB6">
      <w:r>
        <w:separator/>
      </w:r>
    </w:p>
  </w:endnote>
  <w:endnote w:type="continuationSeparator" w:id="0">
    <w:p w:rsidR="001D473C" w:rsidRDefault="001D473C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3C" w:rsidRDefault="001D473C" w:rsidP="00747FB6">
      <w:r>
        <w:separator/>
      </w:r>
    </w:p>
  </w:footnote>
  <w:footnote w:type="continuationSeparator" w:id="0">
    <w:p w:rsidR="001D473C" w:rsidRDefault="001D473C" w:rsidP="00747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FB6" w:rsidRDefault="00747FB6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表</w:t>
    </w:r>
    <w:r>
      <w:rPr>
        <w:rFonts w:hint="eastAsia"/>
      </w:rPr>
      <w:t>T-4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547B27"/>
    <w:multiLevelType w:val="hybridMultilevel"/>
    <w:tmpl w:val="927C4D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D47822"/>
    <w:multiLevelType w:val="hybridMultilevel"/>
    <w:tmpl w:val="245C233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F640A0"/>
    <w:multiLevelType w:val="hybridMultilevel"/>
    <w:tmpl w:val="B4F48FD8"/>
    <w:lvl w:ilvl="0" w:tplc="DBC6F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EE075D"/>
    <w:multiLevelType w:val="hybridMultilevel"/>
    <w:tmpl w:val="31A6F26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047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55FCE"/>
    <w:rsid w:val="000F5687"/>
    <w:rsid w:val="00103926"/>
    <w:rsid w:val="00160370"/>
    <w:rsid w:val="001D473C"/>
    <w:rsid w:val="002C1ADE"/>
    <w:rsid w:val="003110B4"/>
    <w:rsid w:val="00433A36"/>
    <w:rsid w:val="004601D1"/>
    <w:rsid w:val="00490FCB"/>
    <w:rsid w:val="00492429"/>
    <w:rsid w:val="0050213A"/>
    <w:rsid w:val="005618BF"/>
    <w:rsid w:val="005A1B03"/>
    <w:rsid w:val="00617840"/>
    <w:rsid w:val="006232DB"/>
    <w:rsid w:val="00747FB6"/>
    <w:rsid w:val="007C59A9"/>
    <w:rsid w:val="00815E7D"/>
    <w:rsid w:val="00891D09"/>
    <w:rsid w:val="008C4647"/>
    <w:rsid w:val="0095407E"/>
    <w:rsid w:val="00A306DF"/>
    <w:rsid w:val="00A3564B"/>
    <w:rsid w:val="00AD7852"/>
    <w:rsid w:val="00AE04CB"/>
    <w:rsid w:val="00AF3F5C"/>
    <w:rsid w:val="00AF434B"/>
    <w:rsid w:val="00BA556A"/>
    <w:rsid w:val="00BB5DCA"/>
    <w:rsid w:val="00C57C69"/>
    <w:rsid w:val="00C677B1"/>
    <w:rsid w:val="00CD24CD"/>
    <w:rsid w:val="00D868C9"/>
    <w:rsid w:val="00DC1828"/>
    <w:rsid w:val="00E139A2"/>
    <w:rsid w:val="00E91E47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5</cp:revision>
  <cp:lastPrinted>2017-01-09T02:09:00Z</cp:lastPrinted>
  <dcterms:created xsi:type="dcterms:W3CDTF">2017-07-17T02:56:00Z</dcterms:created>
  <dcterms:modified xsi:type="dcterms:W3CDTF">2017-07-17T04:09:00Z</dcterms:modified>
</cp:coreProperties>
</file>